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7177F9">
      <w:pPr>
        <w:pStyle w:val="TDC1"/>
      </w:pPr>
    </w:p>
    <w:p w14:paraId="4CAB1182" w14:textId="77777777" w:rsidR="00A71048" w:rsidRPr="00EF3308" w:rsidRDefault="00A71048" w:rsidP="00A71048">
      <w:pPr>
        <w:pStyle w:val="Sinespaciado"/>
        <w:spacing w:line="276" w:lineRule="auto"/>
        <w:jc w:val="center"/>
        <w:rPr>
          <w:rFonts w:ascii="Arial Narrow" w:hAnsi="Arial Narrow"/>
          <w:b/>
          <w:sz w:val="22"/>
          <w:szCs w:val="22"/>
          <w:lang w:val="es-DO" w:eastAsia="es-ES"/>
        </w:rPr>
      </w:pPr>
      <w:r w:rsidRPr="00EF3308">
        <w:rPr>
          <w:rFonts w:ascii="Arial Narrow" w:eastAsia="Arial Narrow" w:hAnsi="Arial Narrow" w:cs="Arial Narrow"/>
          <w:b/>
          <w:color w:val="000000"/>
          <w:sz w:val="22"/>
          <w:szCs w:val="22"/>
        </w:rPr>
        <w:t>“</w:t>
      </w:r>
      <w:r w:rsidRPr="00EF3308">
        <w:rPr>
          <w:rFonts w:ascii="Arial Narrow" w:eastAsia="Arial Narrow" w:hAnsi="Arial Narrow" w:cs="Arial Narrow"/>
          <w:b/>
          <w:color w:val="000000"/>
        </w:rPr>
        <w:t>CONTRATACIÓN DE LOS SERVICIOS DE TALLERES ESPECIALIZADOS PARA MANTENIMIENTO Y REPARACIÓN DE LOS VEHÍCULOS PESADOS DE LA MARCA SHACMAN, DEL INAPA</w:t>
      </w:r>
      <w:r w:rsidRPr="00EF3308">
        <w:rPr>
          <w:rFonts w:ascii="Arial Narrow" w:eastAsia="Arial Narrow" w:hAnsi="Arial Narrow" w:cs="Arial Narrow"/>
          <w:b/>
          <w:color w:val="000000"/>
          <w:sz w:val="22"/>
          <w:szCs w:val="22"/>
        </w:rPr>
        <w:t>”</w:t>
      </w:r>
    </w:p>
    <w:p w14:paraId="41CA88CC" w14:textId="77777777" w:rsidR="0068362E" w:rsidRPr="00EF3308" w:rsidRDefault="006374A9" w:rsidP="0068362E">
      <w:pPr>
        <w:autoSpaceDE w:val="0"/>
        <w:autoSpaceDN w:val="0"/>
        <w:spacing w:line="276" w:lineRule="auto"/>
        <w:jc w:val="center"/>
        <w:rPr>
          <w:rFonts w:ascii="Arial Narrow" w:eastAsia="Arial Narrow" w:hAnsi="Arial Narrow" w:cs="Arial Narrow"/>
          <w:b/>
          <w:color w:val="000000"/>
        </w:rPr>
      </w:pPr>
      <w:r w:rsidRPr="008A23F0">
        <w:rPr>
          <w:rFonts w:ascii="Arial Narrow" w:hAnsi="Arial Narrow"/>
          <w:b/>
          <w:iCs/>
          <w:noProof/>
          <w:lang w:val="es-ES_tradnl" w:eastAsia="es-DO"/>
        </w:rPr>
        <w:t xml:space="preserve">REFERENCIA: EXCEPCION PROVEEDOR UNICO </w:t>
      </w:r>
      <w:r w:rsidR="0068362E" w:rsidRPr="00EF3308">
        <w:rPr>
          <w:rFonts w:ascii="Arial Narrow" w:eastAsia="Arial Narrow" w:hAnsi="Arial Narrow" w:cs="Arial Narrow"/>
          <w:b/>
          <w:color w:val="000000"/>
        </w:rPr>
        <w:t>INAPA-CCC-PEPU-2025-0001</w:t>
      </w:r>
    </w:p>
    <w:p w14:paraId="10C88585" w14:textId="6381A324" w:rsidR="006374A9" w:rsidRPr="0068362E" w:rsidRDefault="006374A9" w:rsidP="006374A9">
      <w:pPr>
        <w:jc w:val="center"/>
        <w:rPr>
          <w:rFonts w:ascii="Arial Narrow" w:hAnsi="Arial Narrow"/>
          <w:b/>
          <w:bCs/>
          <w:iCs/>
          <w:noProof/>
          <w:color w:val="C00000"/>
          <w:lang w:eastAsia="es-DO"/>
        </w:rPr>
      </w:pPr>
    </w:p>
    <w:p w14:paraId="28D43F50" w14:textId="655545C4" w:rsidR="008C29EA" w:rsidRDefault="006374A9" w:rsidP="006374A9">
      <w:r w:rsidRPr="008C29EA">
        <w:rPr>
          <w:b/>
          <w:iCs/>
          <w:noProof/>
          <w:lang w:val="es-ES_tradnl" w:eastAsia="es-DO"/>
        </w:rPr>
        <w:t xml:space="preserve"> </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A7CE28D"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6374A9" w:rsidRPr="0070240D">
        <w:t>“</w:t>
      </w:r>
      <w:r w:rsidR="006374A9" w:rsidRPr="0070240D">
        <w:rPr>
          <w:b/>
        </w:rPr>
        <w:t xml:space="preserve">LA INSTITUCIÓN CONTRATANTE”,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521BCBCF"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w:t>
      </w:r>
      <w:r w:rsidR="006374A9">
        <w:rPr>
          <w:bCs/>
          <w:iCs/>
          <w:noProof/>
          <w:lang w:val="es-ES_tradnl" w:eastAsia="es-DO"/>
        </w:rPr>
        <w:t>el</w:t>
      </w:r>
      <w:r w:rsidRPr="0070240D">
        <w:rPr>
          <w:bCs/>
          <w:iCs/>
          <w:noProof/>
          <w:lang w:val="es-ES_tradnl" w:eastAsia="es-DO"/>
        </w:rPr>
        <w:t xml:space="preserve">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668DCAFC" w:rsidR="00465CCF" w:rsidRPr="007177F9" w:rsidRDefault="00305F17" w:rsidP="00A632A3">
      <w:pPr>
        <w:pStyle w:val="Sinespaciado"/>
        <w:spacing w:line="276" w:lineRule="auto"/>
        <w:jc w:val="both"/>
      </w:pPr>
      <w:r w:rsidRPr="007177F9">
        <w:t xml:space="preserve">Artículo 1. </w:t>
      </w:r>
      <w:r w:rsidR="00465CCF" w:rsidRPr="007177F9">
        <w:t xml:space="preserve">Objeto y alcance del contrato. El objeto del contrato </w:t>
      </w:r>
      <w:proofErr w:type="gramStart"/>
      <w:r w:rsidR="00465CCF" w:rsidRPr="007177F9">
        <w:rPr>
          <w:b/>
        </w:rPr>
        <w:t>es</w:t>
      </w:r>
      <w:r w:rsidR="004F6462" w:rsidRPr="007177F9">
        <w:rPr>
          <w:b/>
        </w:rPr>
        <w:t xml:space="preserve">  “</w:t>
      </w:r>
      <w:proofErr w:type="gramEnd"/>
      <w:r w:rsidR="004F6462" w:rsidRPr="00EF3308">
        <w:rPr>
          <w:rFonts w:ascii="Arial Narrow" w:eastAsia="Arial Narrow" w:hAnsi="Arial Narrow" w:cs="Arial Narrow"/>
          <w:b/>
          <w:color w:val="000000"/>
        </w:rPr>
        <w:t>CONTRATACIÓN DE LOS SERVICIOS DE TALLERES ESPECIALIZADOS PARA MANTENIMIENTO Y REPARACIÓN DE LOS VEHÍCULOS PESADOS DE LA MARCA SHACMAN, DEL INAPA</w:t>
      </w:r>
      <w:r w:rsidR="004F6462" w:rsidRPr="00EF3308">
        <w:rPr>
          <w:rFonts w:ascii="Arial Narrow" w:eastAsia="Arial Narrow" w:hAnsi="Arial Narrow" w:cs="Arial Narrow"/>
          <w:b/>
          <w:color w:val="000000"/>
          <w:sz w:val="22"/>
          <w:szCs w:val="22"/>
        </w:rPr>
        <w:t>”</w:t>
      </w:r>
      <w:r w:rsidR="00465CCF" w:rsidRPr="007177F9">
        <w:t xml:space="preserve"> que deberá ser ejecutado de acuerdo con el pliego de condiciones, términos de referencia y fichas técnicas y en los términos propuestos en la oferta técnica y económica adjudicada a EL PROVEEDOR,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0DBE759B" w:rsidR="00465CCF" w:rsidRPr="0070240D" w:rsidRDefault="00FE4A53" w:rsidP="00465CCF">
      <w:pPr>
        <w:pStyle w:val="Prrafodelista"/>
        <w:numPr>
          <w:ilvl w:val="0"/>
          <w:numId w:val="4"/>
        </w:numPr>
        <w:contextualSpacing w:val="0"/>
        <w:jc w:val="both"/>
        <w:rPr>
          <w:b/>
          <w:bCs/>
        </w:rPr>
      </w:pPr>
      <w:r>
        <w:rPr>
          <w:rFonts w:ascii="Book Antiqua" w:eastAsia="Calibri" w:hAnsi="Book Antiqua"/>
          <w:b/>
          <w:lang w:val="es-ES"/>
        </w:rPr>
        <w:t xml:space="preserve">EL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5B65760C"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w:t>
      </w:r>
      <w:r w:rsidR="00FE4A53">
        <w:t>l</w:t>
      </w:r>
      <w:r w:rsidRPr="0070240D">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1A35A82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FE4A53">
        <w:t>l</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166D5A71"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FE4A53">
        <w:t xml:space="preserve">el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33F9BFA0"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w:t>
      </w:r>
      <w:r w:rsidR="00FE4A53">
        <w:t>l</w:t>
      </w:r>
      <w:r w:rsidR="00465CCF" w:rsidRPr="0070240D">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C1B24A6"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seguimiento y monitoreo al cumplimiento del Contrato en representación de</w:t>
      </w:r>
      <w:r w:rsidR="00FE4A53">
        <w:rPr>
          <w:rFonts w:eastAsiaTheme="minorHAnsi"/>
          <w:lang w:eastAsia="en-US"/>
        </w:rPr>
        <w:t>l</w:t>
      </w:r>
      <w:r w:rsidRPr="0070240D">
        <w:rPr>
          <w:rFonts w:eastAsiaTheme="minorHAnsi"/>
          <w:lang w:eastAsia="en-US"/>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232A1C63"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w:t>
      </w:r>
      <w:r w:rsidR="00FE4A53">
        <w:t>a las obligaciones reconocidas el</w:t>
      </w:r>
      <w:r w:rsidR="00465CCF" w:rsidRPr="0070240D">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586ABC0C"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FE4A53">
        <w:rPr>
          <w:rFonts w:eastAsiaTheme="minorHAnsi"/>
          <w:lang w:eastAsia="en-US"/>
        </w:rPr>
        <w:t>presentará el</w:t>
      </w:r>
      <w:r w:rsidRPr="0070240D">
        <w:rPr>
          <w:rFonts w:eastAsiaTheme="minorHAnsi"/>
          <w:lang w:eastAsia="en-US"/>
        </w:rPr>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6DEC18C1"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ejecutará y concluirá sus servicios y subsanará cualquier deficiencia en los mismos identificadas por</w:t>
      </w:r>
      <w:r w:rsidR="00FE4A53">
        <w:t xml:space="preserve"> el </w:t>
      </w:r>
      <w:r w:rsidR="00F668D4" w:rsidRPr="007B342F">
        <w:rPr>
          <w:rFonts w:ascii="Book Antiqua" w:eastAsia="Calibri" w:hAnsi="Book Antiqua"/>
          <w:b/>
          <w:lang w:val="es-ES"/>
        </w:rPr>
        <w:t xml:space="preserve">INSTITUTO NACIONAL DE </w:t>
      </w:r>
      <w:r w:rsidR="00F668D4" w:rsidRPr="007B342F">
        <w:rPr>
          <w:rFonts w:ascii="Book Antiqua" w:eastAsia="Calibri" w:hAnsi="Book Antiqua"/>
          <w:b/>
          <w:lang w:val="es-ES"/>
        </w:rPr>
        <w:lastRenderedPageBreak/>
        <w:t>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6A2E102"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110F29C"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w:t>
      </w:r>
      <w:r w:rsidR="00FE4A53">
        <w:t>l Contrato, deberá notificarlo el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3FB86A3D"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FE4A53">
        <w:t xml:space="preserve">deberá someter el </w:t>
      </w:r>
      <w:r w:rsidR="00F668D4" w:rsidRPr="007B342F">
        <w:rPr>
          <w:rFonts w:ascii="Book Antiqua" w:eastAsia="Calibri" w:hAnsi="Book Antiqua"/>
          <w:b/>
          <w:lang w:val="es-ES"/>
        </w:rPr>
        <w:t xml:space="preserve">INSTITUTO NACIONAL DE AGUAS POTABLES Y </w:t>
      </w:r>
      <w:proofErr w:type="gramStart"/>
      <w:r w:rsidR="00F668D4" w:rsidRPr="007B342F">
        <w:rPr>
          <w:rFonts w:ascii="Book Antiqua" w:eastAsia="Calibri" w:hAnsi="Book Antiqua"/>
          <w:b/>
          <w:lang w:val="es-ES"/>
        </w:rPr>
        <w:t>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 para</w:t>
      </w:r>
      <w:proofErr w:type="gramEnd"/>
      <w:r w:rsidR="00E1583C" w:rsidRPr="0070240D">
        <w:t xml:space="preserve"> su revisión y aprobación, copia de la hoja de vida de la persona propuesta quien deberá tener semejantes aptitudes y experiencia. Si</w:t>
      </w:r>
      <w:r w:rsidR="00FE4A53">
        <w:t xml:space="preserve"> 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5848340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a favor de</w:t>
      </w:r>
      <w:r w:rsidR="00FE4A53">
        <w:t>l</w:t>
      </w:r>
      <w:r w:rsidR="00465CCF"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345FD51F" w:rsidR="00465CCF" w:rsidRPr="0070240D" w:rsidRDefault="00465CCF" w:rsidP="00465CCF">
      <w:pPr>
        <w:jc w:val="both"/>
      </w:pPr>
      <w:r w:rsidRPr="0070240D">
        <w:rPr>
          <w:b/>
          <w:bCs/>
        </w:rPr>
        <w:t xml:space="preserve">Párrafo. </w:t>
      </w:r>
      <w:r w:rsidRPr="0070240D">
        <w:t>Dicha garantía responderá de los daños</w:t>
      </w:r>
      <w:r w:rsidR="00FE4A53">
        <w:t xml:space="preserve"> y perjuicios que se produzcan el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592FBC5"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E4A53">
        <w:rPr>
          <w:b/>
          <w:bCs/>
        </w:rPr>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566098F8" w:rsidR="00465CCF" w:rsidRPr="0070240D" w:rsidRDefault="00465CCF" w:rsidP="00465CCF">
      <w:pPr>
        <w:jc w:val="both"/>
      </w:pPr>
      <w:r w:rsidRPr="0070240D">
        <w:rPr>
          <w:b/>
          <w:bCs/>
        </w:rPr>
        <w:t>Párrafo I.</w:t>
      </w:r>
      <w:r w:rsidRPr="0070240D">
        <w:t xml:space="preserve"> En caso de que algún reclamo o demanda se dirigiera contra </w:t>
      </w:r>
      <w:r w:rsidR="00FE4A53">
        <w:rPr>
          <w:rFonts w:ascii="Book Antiqua" w:eastAsia="Calibri" w:hAnsi="Book Antiqua"/>
          <w:b/>
          <w:lang w:val="es-ES"/>
        </w:rPr>
        <w:t>el I</w:t>
      </w:r>
      <w:r w:rsidR="00F668D4" w:rsidRPr="007B342F">
        <w:rPr>
          <w:rFonts w:ascii="Book Antiqua" w:eastAsia="Calibri" w:hAnsi="Book Antiqua"/>
          <w:b/>
          <w:lang w:val="es-ES"/>
        </w:rPr>
        <w:t>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69CEE923" w:rsidR="00EA3C49" w:rsidRPr="0070240D" w:rsidRDefault="00305F17" w:rsidP="00D54268">
      <w:pPr>
        <w:pStyle w:val="Sinespaciado"/>
        <w:spacing w:line="276" w:lineRule="auto"/>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7177F9">
        <w:t>de excepción proveedor único</w:t>
      </w:r>
      <w:r w:rsidR="00D54268">
        <w:t xml:space="preserve"> </w:t>
      </w:r>
      <w:r w:rsidR="00D54268" w:rsidRPr="00EF3308">
        <w:rPr>
          <w:rFonts w:ascii="Arial Narrow" w:eastAsia="Arial Narrow" w:hAnsi="Arial Narrow" w:cs="Arial Narrow"/>
          <w:b/>
          <w:color w:val="000000"/>
          <w:sz w:val="22"/>
          <w:szCs w:val="22"/>
        </w:rPr>
        <w:t>“</w:t>
      </w:r>
      <w:r w:rsidR="00D54268" w:rsidRPr="00EF3308">
        <w:rPr>
          <w:rFonts w:ascii="Arial Narrow" w:eastAsia="Arial Narrow" w:hAnsi="Arial Narrow" w:cs="Arial Narrow"/>
          <w:b/>
          <w:color w:val="000000"/>
        </w:rPr>
        <w:t>CONTRATACIÓN DE LOS SERVICIOS DE TALLERES ESPECIALIZADOS PARA MANTENIMIENTO Y REPARACIÓN DE LOS VEHÍCULOS PESADOS DE LA MARCA SHACMAN, DEL INAPA</w:t>
      </w:r>
      <w:proofErr w:type="gramStart"/>
      <w:r w:rsidR="00D54268" w:rsidRPr="00EF3308">
        <w:rPr>
          <w:rFonts w:ascii="Arial Narrow" w:eastAsia="Arial Narrow" w:hAnsi="Arial Narrow" w:cs="Arial Narrow"/>
          <w:b/>
          <w:color w:val="000000"/>
          <w:sz w:val="22"/>
          <w:szCs w:val="22"/>
        </w:rPr>
        <w:t>”</w:t>
      </w:r>
      <w:r w:rsidR="00D54268">
        <w:rPr>
          <w:rFonts w:ascii="Arial Narrow" w:eastAsia="Arial Narrow" w:hAnsi="Arial Narrow" w:cs="Arial Narrow"/>
          <w:b/>
          <w:color w:val="000000"/>
          <w:sz w:val="22"/>
          <w:szCs w:val="22"/>
        </w:rPr>
        <w:t xml:space="preserve"> </w:t>
      </w:r>
      <w:r w:rsidR="00EA3C49" w:rsidRPr="0069075F">
        <w:rPr>
          <w:b/>
        </w:rPr>
        <w:t>,</w:t>
      </w:r>
      <w:proofErr w:type="gramEnd"/>
      <w:r w:rsidR="00EA3C49" w:rsidRPr="0069075F">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w:t>
      </w:r>
      <w:r w:rsidR="00C11D26" w:rsidRPr="0070240D">
        <w:lastRenderedPageBreak/>
        <w:t xml:space="preserve">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4F939F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w:t>
      </w:r>
      <w:r w:rsidR="00FE4A53">
        <w:t>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448E5981"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w:t>
      </w:r>
      <w:r w:rsidR="00FE4A53">
        <w:t xml:space="preserve"> el</w:t>
      </w:r>
      <w:r w:rsidR="00C11D26"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65F7904A"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w:t>
      </w:r>
      <w:r w:rsidR="00FE4A53">
        <w:t>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0CDE13ED"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E4A53">
        <w:t xml:space="preserve">el </w:t>
      </w:r>
      <w:r w:rsidR="00F668D4" w:rsidRPr="007B342F">
        <w:rPr>
          <w:rFonts w:ascii="Book Antiqua" w:eastAsia="Calibri" w:hAnsi="Book Antiqua"/>
          <w:b/>
          <w:lang w:val="es-ES"/>
        </w:rPr>
        <w:t xml:space="preserve">INSTITUTO NACIONAL DE AGUAS POTABLES Y </w:t>
      </w:r>
      <w:r w:rsidR="00F668D4" w:rsidRPr="007B342F">
        <w:rPr>
          <w:rFonts w:ascii="Book Antiqua" w:eastAsia="Calibri" w:hAnsi="Book Antiqua"/>
          <w:b/>
          <w:lang w:val="es-ES"/>
        </w:rPr>
        <w:lastRenderedPageBreak/>
        <w:t>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426F353A"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w:t>
      </w:r>
      <w:r w:rsidR="00FE4A53">
        <w:t xml:space="preserve"> 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w:t>
      </w:r>
      <w:r w:rsidR="00FE4A53">
        <w:t>el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065A2198"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acuerd</w:t>
      </w:r>
      <w:r w:rsidR="00FE4A53">
        <w:t xml:space="preserve">a, por este medio, liberar 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5D71FC57"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DF0A248"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E4A53">
        <w:rPr>
          <w:b/>
        </w:rPr>
        <w:t xml:space="preserve">el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3CCE9B15"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podrá subcontratar o ceder la ejecución de servicios hasta el cincuenta por ciento (50%) del monto de las tareas comprendidas en el contrato, con la previa y expresa autorización de</w:t>
      </w:r>
      <w:r w:rsidR="00FE4A53">
        <w:t>l</w:t>
      </w:r>
      <w:r w:rsidR="00C11D26" w:rsidRPr="0070240D">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4451A16"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w:t>
      </w:r>
      <w:r w:rsidR="00FE4A53">
        <w:t>l</w:t>
      </w:r>
      <w:r w:rsidRPr="0070240D">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6722E6FA"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E4A53">
        <w:t xml:space="preserve">el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lastRenderedPageBreak/>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43909BE9"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w:t>
      </w:r>
      <w:r w:rsidR="003C52C1">
        <w:t>l</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E96F45C"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w:t>
      </w:r>
      <w:r w:rsidR="003C52C1">
        <w:rPr>
          <w:rFonts w:eastAsiaTheme="minorHAnsi"/>
          <w:lang w:eastAsia="en-US"/>
        </w:rPr>
        <w:t>l</w:t>
      </w:r>
      <w:r w:rsidRPr="00F57577">
        <w:rPr>
          <w:rFonts w:eastAsiaTheme="minorHAnsi"/>
          <w:lang w:eastAsia="en-US"/>
        </w:rPr>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5757177A" w:rsidR="00B703E0" w:rsidRPr="00F57577" w:rsidRDefault="00B703E0" w:rsidP="00B703E0">
      <w:pPr>
        <w:jc w:val="both"/>
        <w:rPr>
          <w:b/>
          <w:bCs/>
        </w:rPr>
      </w:pPr>
      <w:r w:rsidRPr="00F57577">
        <w:rPr>
          <w:b/>
        </w:rPr>
        <w:t>Párrafo. EL PROVEEDOR</w:t>
      </w:r>
      <w:r w:rsidR="003C52C1">
        <w:t xml:space="preserve"> deberá entregar el</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retener una copia de los mismos y comprometiéndose a no utilizarlos para fines no relacionados con el Contrato, sin el consentimiento de</w:t>
      </w:r>
      <w:r w:rsidR="003C52C1">
        <w:t>l</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0750D913"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3C52C1">
        <w:t xml:space="preserve">EL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w:t>
      </w:r>
      <w:r w:rsidRPr="0070240D">
        <w:rPr>
          <w:lang w:val="es-ES"/>
        </w:rPr>
        <w:lastRenderedPageBreak/>
        <w:t xml:space="preserve">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61E22EF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w:t>
      </w:r>
      <w:r w:rsidR="002A26EA">
        <w:rPr>
          <w:lang w:val="es-ES_tradnl"/>
        </w:rPr>
        <w:t>asociados. Además, indemnizará el</w:t>
      </w:r>
      <w:r w:rsidRPr="0070240D">
        <w:rPr>
          <w:lang w:val="es-ES_tradnl"/>
        </w:rPr>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lastRenderedPageBreak/>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6200320B"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2A26EA">
        <w:rPr>
          <w:b/>
          <w:bCs/>
        </w:rPr>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3C199472" w:rsidR="00C11D26" w:rsidRPr="0070240D" w:rsidRDefault="00C11D26" w:rsidP="00C11D26">
      <w:pPr>
        <w:jc w:val="both"/>
      </w:pPr>
      <w:r w:rsidRPr="0070240D">
        <w:rPr>
          <w:b/>
          <w:bCs/>
        </w:rPr>
        <w:t>PÁRRAFO I:</w:t>
      </w:r>
      <w:r w:rsidRPr="0070240D">
        <w:t xml:space="preserve">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134F109"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3FEE7533"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2DEC4CC7" w:rsidR="00C11D26" w:rsidRPr="0070240D" w:rsidRDefault="00C11D26" w:rsidP="00C11D26">
      <w:pPr>
        <w:jc w:val="both"/>
      </w:pPr>
      <w:r w:rsidRPr="0070240D">
        <w:rPr>
          <w:b/>
          <w:bCs/>
        </w:rPr>
        <w:t>Párrafo I:</w:t>
      </w:r>
      <w:r w:rsidRPr="0070240D">
        <w:t xml:space="preserve">  Como medida de prevención y detención,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w:t>
      </w:r>
      <w:r w:rsidRPr="0070240D">
        <w:lastRenderedPageBreak/>
        <w:t xml:space="preserve">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1FFE4561"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002A26EA">
        <w:t xml:space="preserve">el </w:t>
      </w:r>
      <w:r w:rsidR="00D17310" w:rsidRPr="007B342F">
        <w:rPr>
          <w:rFonts w:ascii="Book Antiqua" w:eastAsia="Calibri" w:hAnsi="Book Antiqua"/>
          <w:b/>
          <w:lang w:val="es-ES"/>
        </w:rPr>
        <w:t xml:space="preserve">INSTITUTO NACIONAL DE AGUAS POTABLES Y </w:t>
      </w:r>
      <w:bookmarkStart w:id="4" w:name="_GoBack"/>
      <w:bookmarkEnd w:id="4"/>
      <w:r w:rsidR="00F6648A" w:rsidRPr="007B342F">
        <w:rPr>
          <w:rFonts w:ascii="Book Antiqua" w:eastAsia="Calibri" w:hAnsi="Book Antiqua"/>
          <w:b/>
          <w:lang w:val="es-ES"/>
        </w:rPr>
        <w:t>ALCANTARILLADO</w:t>
      </w:r>
      <w:r w:rsidR="00F6648A">
        <w:rPr>
          <w:rFonts w:ascii="Book Antiqua" w:eastAsia="Calibri" w:hAnsi="Book Antiqua"/>
          <w:b/>
          <w:lang w:val="es-ES"/>
        </w:rPr>
        <w:t>S</w:t>
      </w:r>
      <w:r w:rsidR="00F6648A"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lastRenderedPageBreak/>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A4CB" w14:textId="77777777" w:rsidR="004104B7" w:rsidRDefault="004104B7" w:rsidP="00465CCF">
      <w:r>
        <w:separator/>
      </w:r>
    </w:p>
  </w:endnote>
  <w:endnote w:type="continuationSeparator" w:id="0">
    <w:p w14:paraId="50B9B02A" w14:textId="77777777" w:rsidR="004104B7" w:rsidRDefault="004104B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7DA332D7"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F6648A">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F6648A">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58361" w14:textId="77777777" w:rsidR="004104B7" w:rsidRDefault="004104B7" w:rsidP="00465CCF">
      <w:r>
        <w:separator/>
      </w:r>
    </w:p>
  </w:footnote>
  <w:footnote w:type="continuationSeparator" w:id="0">
    <w:p w14:paraId="3E91F1A0" w14:textId="77777777" w:rsidR="004104B7" w:rsidRDefault="004104B7"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94C62"/>
    <w:rsid w:val="002A26EA"/>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C52C1"/>
    <w:rsid w:val="003E1696"/>
    <w:rsid w:val="003F2199"/>
    <w:rsid w:val="004104B7"/>
    <w:rsid w:val="004160F3"/>
    <w:rsid w:val="004335CE"/>
    <w:rsid w:val="00436503"/>
    <w:rsid w:val="00440ED4"/>
    <w:rsid w:val="0044526A"/>
    <w:rsid w:val="00462B94"/>
    <w:rsid w:val="00465CCF"/>
    <w:rsid w:val="00471298"/>
    <w:rsid w:val="004722D9"/>
    <w:rsid w:val="00473BD1"/>
    <w:rsid w:val="0048469D"/>
    <w:rsid w:val="004E576C"/>
    <w:rsid w:val="004F3285"/>
    <w:rsid w:val="004F6462"/>
    <w:rsid w:val="0052760A"/>
    <w:rsid w:val="0053010C"/>
    <w:rsid w:val="0053484A"/>
    <w:rsid w:val="0054296C"/>
    <w:rsid w:val="005B5EE6"/>
    <w:rsid w:val="005E0CE8"/>
    <w:rsid w:val="005F42BF"/>
    <w:rsid w:val="006146ED"/>
    <w:rsid w:val="006374A9"/>
    <w:rsid w:val="00673DD7"/>
    <w:rsid w:val="006803DB"/>
    <w:rsid w:val="0068362E"/>
    <w:rsid w:val="0069075F"/>
    <w:rsid w:val="00692F19"/>
    <w:rsid w:val="006B4ABE"/>
    <w:rsid w:val="0070240D"/>
    <w:rsid w:val="007177F9"/>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2A3"/>
    <w:rsid w:val="00A63E06"/>
    <w:rsid w:val="00A71048"/>
    <w:rsid w:val="00AD3F97"/>
    <w:rsid w:val="00AE6C8E"/>
    <w:rsid w:val="00AF4686"/>
    <w:rsid w:val="00B110C8"/>
    <w:rsid w:val="00B161F6"/>
    <w:rsid w:val="00B164CB"/>
    <w:rsid w:val="00B16700"/>
    <w:rsid w:val="00B67845"/>
    <w:rsid w:val="00B67E64"/>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54268"/>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48A"/>
    <w:rsid w:val="00F668D4"/>
    <w:rsid w:val="00F7458C"/>
    <w:rsid w:val="00F7642B"/>
    <w:rsid w:val="00F819ED"/>
    <w:rsid w:val="00FB7F78"/>
    <w:rsid w:val="00FC12AF"/>
    <w:rsid w:val="00FD5601"/>
    <w:rsid w:val="00FE4A53"/>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177F9"/>
    <w:pPr>
      <w:tabs>
        <w:tab w:val="right" w:leader="dot" w:pos="9360"/>
      </w:tabs>
      <w:jc w:val="both"/>
    </w:pPr>
    <w:rPr>
      <w:bCs/>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Sinespaciado">
    <w:name w:val="No Spacing"/>
    <w:link w:val="SinespaciadoCar"/>
    <w:uiPriority w:val="1"/>
    <w:qFormat/>
    <w:rsid w:val="00A71048"/>
    <w:pPr>
      <w:suppressAutoHyphens/>
      <w:spacing w:after="0" w:line="240" w:lineRule="auto"/>
    </w:pPr>
    <w:rPr>
      <w:rFonts w:ascii="Times New Roman" w:eastAsia="Times New Roman" w:hAnsi="Times New Roman" w:cs="Times New Roman"/>
      <w:kern w:val="0"/>
      <w:lang w:val="es-ES" w:eastAsia="zh-CN"/>
      <w14:ligatures w14:val="none"/>
    </w:rPr>
  </w:style>
  <w:style w:type="character" w:customStyle="1" w:styleId="SinespaciadoCar">
    <w:name w:val="Sin espaciado Car"/>
    <w:basedOn w:val="Fuentedeprrafopredeter"/>
    <w:link w:val="Sinespaciado"/>
    <w:uiPriority w:val="1"/>
    <w:locked/>
    <w:rsid w:val="00A71048"/>
    <w:rPr>
      <w:rFonts w:ascii="Times New Roman" w:eastAsia="Times New Roman" w:hAnsi="Times New Roman" w:cs="Times New Roman"/>
      <w:kern w:val="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11EE-B433-4D79-BD57-23C8074A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6365</Words>
  <Characters>36284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11</cp:revision>
  <cp:lastPrinted>2024-03-01T14:37:00Z</cp:lastPrinted>
  <dcterms:created xsi:type="dcterms:W3CDTF">2024-06-13T15:16:00Z</dcterms:created>
  <dcterms:modified xsi:type="dcterms:W3CDTF">2025-03-11T19:22:00Z</dcterms:modified>
</cp:coreProperties>
</file>