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  <w:bookmarkStart w:id="0" w:name="_GoBack"/>
      <w:bookmarkEnd w:id="0"/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del  Estado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lastRenderedPageBreak/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En el desglose presupuestario que figura como anexo a este Contrato, se presentan las partidas, sub-partidas y el costo general del servicio a realizar.</w:t>
      </w:r>
    </w:p>
    <w:p w:rsidR="003B0454" w:rsidRPr="006D2E61" w:rsidRDefault="003B045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que ella o su personal,  sus empleados y / o representantes intentaren en su contra, derivada del cumplimiento y ejecución del presente Contrato.</w:t>
      </w:r>
    </w:p>
    <w:p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curriculum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:rsidR="003B0454" w:rsidRDefault="003B0454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>fuese a la quiebra, o si se extendiese contra él una orden de administración judicial, o si se presentase una petición de declaración en quiebra, o si hiciese algún convenio con sus acreedores o una cesión a favor de ellos.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introductiva del presente Contrato, en el cual recibirán válidamente todo tipo de correspondencia o notificación relativa al presente Contrato, su ejecución y terminación.</w:t>
      </w: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3B0454" w:rsidRDefault="003B0454" w:rsidP="00E22968">
      <w:pPr>
        <w:ind w:left="5040"/>
        <w:rPr>
          <w:rFonts w:ascii="Arial Narrow" w:hAnsi="Arial Narrow" w:cs="Arial"/>
        </w:rPr>
      </w:pPr>
    </w:p>
    <w:p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3B0454" w:rsidRPr="00227803" w:rsidRDefault="003B0454" w:rsidP="00E22968">
      <w:pPr>
        <w:rPr>
          <w:rFonts w:ascii="Arial Narrow" w:hAnsi="Arial Narrow" w:cs="Arial"/>
        </w:rPr>
      </w:pPr>
    </w:p>
    <w:p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:rsidR="003B0454" w:rsidRDefault="003B0454" w:rsidP="007A2589">
      <w:pPr>
        <w:jc w:val="both"/>
        <w:rPr>
          <w:rFonts w:ascii="Arial Narrow" w:hAnsi="Arial Narrow"/>
        </w:rPr>
      </w:pPr>
    </w:p>
    <w:p w:rsidR="003B0454" w:rsidRDefault="003B0454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6D2E61">
        <w:rPr>
          <w:rFonts w:ascii="Arial Narrow" w:hAnsi="Arial Narrow"/>
          <w:b/>
          <w:caps/>
        </w:rPr>
        <w:t>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3B0454" w:rsidRPr="006D2E61" w:rsidTr="00AA6A3F">
        <w:tc>
          <w:tcPr>
            <w:tcW w:w="118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:rsidTr="00AA6A3F">
        <w:tc>
          <w:tcPr>
            <w:tcW w:w="9648" w:type="dxa"/>
            <w:gridSpan w:val="3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3B0454" w:rsidRPr="006D2E61" w:rsidTr="00AA6A3F">
        <w:tc>
          <w:tcPr>
            <w:tcW w:w="64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Dra. Yokasta Guzmán S.</w:t>
            </w:r>
          </w:p>
          <w:p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:rsidR="003B0454" w:rsidRPr="006D2E61" w:rsidRDefault="003B0454" w:rsidP="004208BF">
      <w:pPr>
        <w:rPr>
          <w:rFonts w:ascii="Arial Narrow" w:hAnsi="Arial Narrow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F2" w:rsidRDefault="00932FF2">
      <w:r>
        <w:separator/>
      </w:r>
    </w:p>
  </w:endnote>
  <w:endnote w:type="continuationSeparator" w:id="0">
    <w:p w:rsidR="00932FF2" w:rsidRDefault="0093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413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F2" w:rsidRDefault="00932FF2">
      <w:r>
        <w:separator/>
      </w:r>
    </w:p>
  </w:footnote>
  <w:footnote w:type="continuationSeparator" w:id="0">
    <w:p w:rsidR="00932FF2" w:rsidRDefault="00932FF2">
      <w:r>
        <w:continuationSeparator/>
      </w:r>
    </w:p>
  </w:footnote>
  <w:footnote w:id="1">
    <w:p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 w15:restartNumberingAfterBreak="0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 w15:restartNumberingAfterBreak="0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 w15:restartNumberingAfterBreak="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 w15:restartNumberingAfterBreak="0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 w15:restartNumberingAfterBreak="0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 w15:restartNumberingAfterBreak="0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 w15:restartNumberingAfterBreak="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 w15:restartNumberingAfterBreak="0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 w15:restartNumberingAfterBreak="0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 w15:restartNumberingAfterBreak="0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 w15:restartNumberingAfterBreak="0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 w15:restartNumberingAfterBreak="0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 w15:restartNumberingAfterBreak="0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 w15:restartNumberingAfterBreak="0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 w15:restartNumberingAfterBreak="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 w15:restartNumberingAfterBreak="0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 w15:restartNumberingAfterBreak="0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 w15:restartNumberingAfterBreak="0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 w15:restartNumberingAfterBreak="0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 w15:restartNumberingAfterBreak="0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 w15:restartNumberingAfterBreak="0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37"/>
  </w:num>
  <w:num w:numId="7">
    <w:abstractNumId w:val="16"/>
  </w:num>
  <w:num w:numId="8">
    <w:abstractNumId w:val="33"/>
  </w:num>
  <w:num w:numId="9">
    <w:abstractNumId w:val="29"/>
  </w:num>
  <w:num w:numId="10">
    <w:abstractNumId w:val="20"/>
  </w:num>
  <w:num w:numId="11">
    <w:abstractNumId w:val="0"/>
  </w:num>
  <w:num w:numId="12">
    <w:abstractNumId w:val="38"/>
  </w:num>
  <w:num w:numId="13">
    <w:abstractNumId w:val="34"/>
  </w:num>
  <w:num w:numId="14">
    <w:abstractNumId w:val="9"/>
  </w:num>
  <w:num w:numId="15">
    <w:abstractNumId w:val="27"/>
  </w:num>
  <w:num w:numId="16">
    <w:abstractNumId w:val="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30"/>
  </w:num>
  <w:num w:numId="23">
    <w:abstractNumId w:val="40"/>
  </w:num>
  <w:num w:numId="24">
    <w:abstractNumId w:val="1"/>
  </w:num>
  <w:num w:numId="25">
    <w:abstractNumId w:val="2"/>
  </w:num>
  <w:num w:numId="26">
    <w:abstractNumId w:val="31"/>
  </w:num>
  <w:num w:numId="27">
    <w:abstractNumId w:val="28"/>
  </w:num>
  <w:num w:numId="28">
    <w:abstractNumId w:val="11"/>
  </w:num>
  <w:num w:numId="29">
    <w:abstractNumId w:val="12"/>
  </w:num>
  <w:num w:numId="30">
    <w:abstractNumId w:val="32"/>
  </w:num>
  <w:num w:numId="31">
    <w:abstractNumId w:val="25"/>
  </w:num>
  <w:num w:numId="32">
    <w:abstractNumId w:val="17"/>
  </w:num>
  <w:num w:numId="33">
    <w:abstractNumId w:val="35"/>
  </w:num>
  <w:num w:numId="34">
    <w:abstractNumId w:val="24"/>
  </w:num>
  <w:num w:numId="35">
    <w:abstractNumId w:val="26"/>
  </w:num>
  <w:num w:numId="36">
    <w:abstractNumId w:val="4"/>
  </w:num>
  <w:num w:numId="37">
    <w:abstractNumId w:val="21"/>
  </w:num>
  <w:num w:numId="38">
    <w:abstractNumId w:val="39"/>
  </w:num>
  <w:num w:numId="39">
    <w:abstractNumId w:val="1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4366"/>
    <w:rsid w:val="003B0454"/>
    <w:rsid w:val="003B5C57"/>
    <w:rsid w:val="003E02A1"/>
    <w:rsid w:val="0040169D"/>
    <w:rsid w:val="0041145D"/>
    <w:rsid w:val="004208BF"/>
    <w:rsid w:val="004400BF"/>
    <w:rsid w:val="0045360C"/>
    <w:rsid w:val="00466E8D"/>
    <w:rsid w:val="004769B2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B0883"/>
    <w:rsid w:val="00BB5933"/>
    <w:rsid w:val="00C112F0"/>
    <w:rsid w:val="00C14130"/>
    <w:rsid w:val="00C36E4E"/>
    <w:rsid w:val="00C42D1E"/>
    <w:rsid w:val="00D56949"/>
    <w:rsid w:val="00D71FED"/>
    <w:rsid w:val="00DF10D4"/>
    <w:rsid w:val="00E22968"/>
    <w:rsid w:val="00E531D0"/>
    <w:rsid w:val="00E7028E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22FA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."/>
  <w:listSeparator w:val=";"/>
  <w15:docId w15:val="{42CFD700-0814-484A-947C-98A70BF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lcf76f155ced4ddcb4097134ff3c332f xmlns="2f20a7e6-7e61-4adf-80b2-0a117464ff3d">
      <Terms xmlns="http://schemas.microsoft.com/office/infopath/2007/PartnerControls"/>
    </lcf76f155ced4ddcb4097134ff3c332f>
    <FechayHora xmlns="2f20a7e6-7e61-4adf-80b2-0a117464ff3d">2022-05-31T20:27:59+00:00</FechayHora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B5045952-709D-4D52-9169-052965147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426CB-3818-4C65-958F-A67263343047}"/>
</file>

<file path=customXml/itemProps3.xml><?xml version="1.0" encoding="utf-8"?>
<ds:datastoreItem xmlns:ds="http://schemas.openxmlformats.org/officeDocument/2006/customXml" ds:itemID="{A4D9D0B6-C2E6-4BE2-9C49-DC463B893C08}"/>
</file>

<file path=customXml/itemProps4.xml><?xml version="1.0" encoding="utf-8"?>
<ds:datastoreItem xmlns:ds="http://schemas.openxmlformats.org/officeDocument/2006/customXml" ds:itemID="{16A400BB-95C1-45FF-AF9C-366A2321A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4474</Words>
  <Characters>24612</Characters>
  <Application>Microsoft Office Word</Application>
  <DocSecurity>0</DocSecurity>
  <Lines>205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SERVICIOS</vt:lpstr>
      <vt:lpstr>CONTRATO DE SERVICIOS</vt:lpstr>
    </vt:vector>
  </TitlesOfParts>
  <Company/>
  <LinksUpToDate>false</LinksUpToDate>
  <CharactersWithSpaces>29028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Karol Alexandra Peña Grullón</cp:lastModifiedBy>
  <cp:revision>2</cp:revision>
  <dcterms:created xsi:type="dcterms:W3CDTF">2020-05-29T19:44:00Z</dcterms:created>
  <dcterms:modified xsi:type="dcterms:W3CDTF">2020-05-29T19:44:00Z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