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6BDB707A" w:rsidR="00465CCF" w:rsidRPr="00921446" w:rsidRDefault="00465CCF" w:rsidP="009B7362">
      <w:pPr>
        <w:pStyle w:val="TDC1"/>
        <w:rPr>
          <w:bCs/>
          <w:color w:val="C00000"/>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921446">
        <w:t xml:space="preserve">PARA </w:t>
      </w:r>
      <w:r w:rsidR="009B7362" w:rsidRPr="00921446">
        <w:rPr>
          <w:rFonts w:eastAsia="Arial Narrow"/>
        </w:rPr>
        <w:t>“</w:t>
      </w:r>
      <w:r w:rsidR="00055B06" w:rsidRPr="0061152E">
        <w:rPr>
          <w:rFonts w:eastAsia="Arial Narrow"/>
          <w:color w:val="000000"/>
        </w:rPr>
        <w:t>ADQUISICIÓN DE CAMIONES Y CAMIONETAS PARA SER UTILIZADOS EN LOS DISTINTOS TRABAJOS QUE REALIZA EL INAPA</w:t>
      </w:r>
      <w:r w:rsidR="009B7362" w:rsidRPr="00921446">
        <w:rPr>
          <w:rFonts w:eastAsia="Arial Narrow"/>
        </w:rPr>
        <w:t xml:space="preserve">” </w:t>
      </w:r>
      <w:r w:rsidRPr="00921446">
        <w:t>Referencia:</w:t>
      </w:r>
      <w:r w:rsidR="00400C36" w:rsidRPr="00921446">
        <w:t xml:space="preserve"> </w:t>
      </w:r>
      <w:r w:rsidR="009B7362" w:rsidRPr="00921446">
        <w:t>COMPARACION DE PRECIOS</w:t>
      </w:r>
      <w:r w:rsidR="00400C36" w:rsidRPr="00921446">
        <w:t xml:space="preserve"> </w:t>
      </w:r>
      <w:r w:rsidRPr="00921446">
        <w:t xml:space="preserve"> </w:t>
      </w:r>
      <w:r w:rsidR="00400C36" w:rsidRPr="00921446">
        <w:t>INAPA-CCC-</w:t>
      </w:r>
      <w:r w:rsidR="0061152E">
        <w:t>LPN</w:t>
      </w:r>
      <w:r w:rsidR="00400C36" w:rsidRPr="00921446">
        <w:t>-2024-00</w:t>
      </w:r>
      <w:r w:rsidR="00330875">
        <w:t>2</w:t>
      </w:r>
      <w:r w:rsidR="0061152E">
        <w:t>2</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15A8FCEB"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953318">
        <w:rPr>
          <w:sz w:val="22"/>
          <w:szCs w:val="22"/>
        </w:rPr>
        <w:t xml:space="preserve"> </w:t>
      </w:r>
      <w:r w:rsidR="00953318" w:rsidRPr="00953318">
        <w:rPr>
          <w:b/>
          <w:sz w:val="22"/>
          <w:szCs w:val="22"/>
        </w:rPr>
        <w:t>“</w:t>
      </w:r>
      <w:r w:rsidR="00312604" w:rsidRPr="0061152E">
        <w:rPr>
          <w:rFonts w:eastAsia="Arial Narrow"/>
          <w:b/>
          <w:color w:val="000000"/>
        </w:rPr>
        <w:t>ADQUISICIÓN DE CAMIONES Y CAMIONETAS PARA SER UTILIZADOS EN LOS DISTINTOS TRABAJOS QUE REALIZA EL INAPA</w:t>
      </w:r>
      <w:r w:rsidR="00553AD7" w:rsidRPr="00953318">
        <w:rPr>
          <w:rFonts w:eastAsia="Arial Narrow"/>
          <w:b/>
        </w:rPr>
        <w:t>”</w:t>
      </w:r>
      <w:r w:rsidR="00400C36">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31B229C8" w:rsidR="00465CCF" w:rsidRDefault="00305F17" w:rsidP="004D177F">
      <w:pPr>
        <w:jc w:val="both"/>
        <w:rPr>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p>
    <w:p w14:paraId="1AF9A537" w14:textId="2295C4A8" w:rsidR="000035C5" w:rsidRDefault="000035C5" w:rsidP="004D177F">
      <w:pPr>
        <w:jc w:val="both"/>
        <w:rPr>
          <w:sz w:val="22"/>
          <w:szCs w:val="22"/>
        </w:rPr>
      </w:pPr>
    </w:p>
    <w:tbl>
      <w:tblPr>
        <w:tblW w:w="9374"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727"/>
        <w:gridCol w:w="6521"/>
        <w:gridCol w:w="992"/>
        <w:gridCol w:w="1134"/>
      </w:tblGrid>
      <w:tr w:rsidR="00AB22D8" w:rsidRPr="00981C45" w14:paraId="4AC9EF34" w14:textId="77777777" w:rsidTr="000A5342">
        <w:trPr>
          <w:trHeight w:val="1012"/>
        </w:trPr>
        <w:tc>
          <w:tcPr>
            <w:tcW w:w="727" w:type="dxa"/>
            <w:shd w:val="clear" w:color="auto" w:fill="83CAEB" w:themeFill="accent1" w:themeFillTint="66"/>
            <w:hideMark/>
          </w:tcPr>
          <w:p w14:paraId="5BB09DB5" w14:textId="77777777" w:rsidR="00AB22D8" w:rsidRPr="00981C45" w:rsidRDefault="00AB22D8" w:rsidP="000A5342">
            <w:pPr>
              <w:spacing w:line="276" w:lineRule="auto"/>
              <w:rPr>
                <w:rFonts w:ascii="Arial Narrow" w:hAnsi="Arial Narrow" w:cs="Arial"/>
                <w:b/>
                <w:bCs/>
                <w:color w:val="000000"/>
                <w:lang w:eastAsia="es-DO"/>
              </w:rPr>
            </w:pPr>
          </w:p>
          <w:p w14:paraId="219EFE53" w14:textId="77777777" w:rsidR="00AB22D8" w:rsidRPr="00981C45" w:rsidRDefault="00AB22D8" w:rsidP="000A5342">
            <w:pPr>
              <w:spacing w:line="276" w:lineRule="auto"/>
              <w:rPr>
                <w:rFonts w:ascii="Arial Narrow" w:hAnsi="Arial Narrow" w:cs="Arial"/>
                <w:b/>
                <w:bCs/>
                <w:color w:val="000000"/>
                <w:lang w:eastAsia="es-DO"/>
              </w:rPr>
            </w:pPr>
          </w:p>
          <w:p w14:paraId="6B8F85B9" w14:textId="77777777" w:rsidR="00AB22D8" w:rsidRPr="00981C45" w:rsidRDefault="00AB22D8" w:rsidP="000A5342">
            <w:pPr>
              <w:spacing w:line="276" w:lineRule="auto"/>
              <w:rPr>
                <w:rFonts w:ascii="Arial Narrow" w:hAnsi="Arial Narrow" w:cs="Arial"/>
                <w:b/>
                <w:bCs/>
                <w:color w:val="000000"/>
                <w:lang w:eastAsia="es-DO"/>
              </w:rPr>
            </w:pPr>
            <w:r w:rsidRPr="00981C45">
              <w:rPr>
                <w:rFonts w:ascii="Arial Narrow" w:hAnsi="Arial Narrow" w:cs="Arial"/>
                <w:b/>
                <w:bCs/>
                <w:color w:val="000000"/>
                <w:lang w:eastAsia="es-DO"/>
              </w:rPr>
              <w:t>Ítem</w:t>
            </w:r>
          </w:p>
        </w:tc>
        <w:tc>
          <w:tcPr>
            <w:tcW w:w="6521" w:type="dxa"/>
            <w:shd w:val="clear" w:color="auto" w:fill="83CAEB" w:themeFill="accent1" w:themeFillTint="66"/>
            <w:hideMark/>
          </w:tcPr>
          <w:p w14:paraId="7C0A06A9" w14:textId="77777777" w:rsidR="00AB22D8" w:rsidRPr="00981C45" w:rsidRDefault="00AB22D8" w:rsidP="000A5342">
            <w:pPr>
              <w:spacing w:line="276" w:lineRule="auto"/>
              <w:jc w:val="center"/>
              <w:rPr>
                <w:rFonts w:ascii="Arial Narrow" w:hAnsi="Arial Narrow" w:cs="Arial"/>
                <w:b/>
                <w:bCs/>
                <w:color w:val="000000"/>
                <w:lang w:eastAsia="es-DO"/>
              </w:rPr>
            </w:pPr>
          </w:p>
          <w:p w14:paraId="27AE765C" w14:textId="77777777" w:rsidR="00AB22D8" w:rsidRPr="00981C45" w:rsidRDefault="00AB22D8" w:rsidP="000A5342">
            <w:pPr>
              <w:spacing w:line="276" w:lineRule="auto"/>
              <w:jc w:val="center"/>
              <w:rPr>
                <w:rFonts w:ascii="Arial Narrow" w:hAnsi="Arial Narrow" w:cs="Arial"/>
                <w:b/>
                <w:bCs/>
                <w:color w:val="000000"/>
                <w:lang w:eastAsia="es-DO"/>
              </w:rPr>
            </w:pPr>
          </w:p>
          <w:p w14:paraId="6AFF6FBA" w14:textId="77777777" w:rsidR="00AB22D8" w:rsidRPr="00981C45" w:rsidRDefault="00AB22D8" w:rsidP="000A5342">
            <w:pPr>
              <w:spacing w:line="276" w:lineRule="auto"/>
              <w:jc w:val="center"/>
              <w:rPr>
                <w:rFonts w:ascii="Arial Narrow" w:hAnsi="Arial Narrow" w:cs="Arial"/>
                <w:b/>
                <w:bCs/>
                <w:color w:val="000000"/>
                <w:lang w:eastAsia="es-DO"/>
              </w:rPr>
            </w:pPr>
            <w:r w:rsidRPr="00981C45">
              <w:rPr>
                <w:rFonts w:ascii="Arial Narrow" w:hAnsi="Arial Narrow" w:cs="Arial"/>
                <w:b/>
                <w:bCs/>
                <w:color w:val="000000"/>
                <w:lang w:eastAsia="es-DO"/>
              </w:rPr>
              <w:t>Descripción</w:t>
            </w:r>
          </w:p>
        </w:tc>
        <w:tc>
          <w:tcPr>
            <w:tcW w:w="992" w:type="dxa"/>
            <w:shd w:val="clear" w:color="auto" w:fill="83CAEB" w:themeFill="accent1" w:themeFillTint="66"/>
            <w:hideMark/>
          </w:tcPr>
          <w:p w14:paraId="646E1746" w14:textId="77777777" w:rsidR="00AB22D8" w:rsidRPr="00981C45" w:rsidRDefault="00AB22D8" w:rsidP="000A5342">
            <w:pPr>
              <w:spacing w:line="276" w:lineRule="auto"/>
              <w:jc w:val="center"/>
              <w:rPr>
                <w:rFonts w:ascii="Arial Narrow" w:hAnsi="Arial Narrow" w:cs="Calibri"/>
                <w:b/>
                <w:bCs/>
                <w:color w:val="000000"/>
                <w:lang w:eastAsia="es-DO"/>
              </w:rPr>
            </w:pPr>
            <w:r w:rsidRPr="00981C45">
              <w:rPr>
                <w:rFonts w:ascii="Arial Narrow" w:hAnsi="Arial Narrow" w:cs="Calibri"/>
                <w:b/>
                <w:bCs/>
                <w:color w:val="000000"/>
                <w:lang w:eastAsia="es-DO"/>
              </w:rPr>
              <w:t>Unidad de Medida</w:t>
            </w:r>
          </w:p>
        </w:tc>
        <w:tc>
          <w:tcPr>
            <w:tcW w:w="1134" w:type="dxa"/>
            <w:shd w:val="clear" w:color="auto" w:fill="83CAEB" w:themeFill="accent1" w:themeFillTint="66"/>
            <w:hideMark/>
          </w:tcPr>
          <w:p w14:paraId="6E7FB710" w14:textId="77777777" w:rsidR="00AB22D8" w:rsidRPr="00981C45" w:rsidRDefault="00AB22D8" w:rsidP="000A5342">
            <w:pPr>
              <w:spacing w:line="276" w:lineRule="auto"/>
              <w:jc w:val="center"/>
              <w:rPr>
                <w:rFonts w:ascii="Arial Narrow" w:hAnsi="Arial Narrow" w:cs="Arial"/>
                <w:b/>
                <w:bCs/>
                <w:color w:val="000000"/>
                <w:lang w:eastAsia="es-DO"/>
              </w:rPr>
            </w:pPr>
          </w:p>
          <w:p w14:paraId="349ECA76" w14:textId="77777777" w:rsidR="00AB22D8" w:rsidRPr="00981C45" w:rsidRDefault="00AB22D8" w:rsidP="000A5342">
            <w:pPr>
              <w:spacing w:line="276" w:lineRule="auto"/>
              <w:rPr>
                <w:rFonts w:ascii="Arial Narrow" w:hAnsi="Arial Narrow" w:cs="Arial"/>
                <w:b/>
                <w:bCs/>
                <w:color w:val="000000"/>
                <w:lang w:eastAsia="es-DO"/>
              </w:rPr>
            </w:pPr>
            <w:r w:rsidRPr="00981C45">
              <w:rPr>
                <w:rFonts w:ascii="Arial Narrow" w:hAnsi="Arial Narrow" w:cs="Arial"/>
                <w:b/>
                <w:bCs/>
                <w:color w:val="000000"/>
                <w:lang w:eastAsia="es-DO"/>
              </w:rPr>
              <w:t xml:space="preserve">  Cantidad    Solicitada</w:t>
            </w:r>
          </w:p>
        </w:tc>
      </w:tr>
      <w:tr w:rsidR="00AB22D8" w:rsidRPr="00981C45" w14:paraId="56A4D8F5" w14:textId="77777777" w:rsidTr="000A5342">
        <w:trPr>
          <w:trHeight w:val="393"/>
        </w:trPr>
        <w:tc>
          <w:tcPr>
            <w:tcW w:w="727" w:type="dxa"/>
            <w:shd w:val="clear" w:color="auto" w:fill="auto"/>
            <w:hideMark/>
          </w:tcPr>
          <w:p w14:paraId="3FEA6BAB" w14:textId="77777777" w:rsidR="00AB22D8" w:rsidRPr="00981C45" w:rsidRDefault="00AB22D8" w:rsidP="000A5342">
            <w:pPr>
              <w:spacing w:line="276" w:lineRule="auto"/>
              <w:jc w:val="center"/>
              <w:rPr>
                <w:rFonts w:ascii="Arial Narrow" w:hAnsi="Arial Narrow" w:cs="Arial"/>
                <w:color w:val="000000"/>
                <w:lang w:eastAsia="es-DO"/>
              </w:rPr>
            </w:pPr>
            <w:r w:rsidRPr="00981C45">
              <w:rPr>
                <w:rFonts w:ascii="Arial Narrow" w:hAnsi="Arial Narrow" w:cs="Arial"/>
                <w:color w:val="000000"/>
                <w:lang w:eastAsia="es-DO"/>
              </w:rPr>
              <w:t>1</w:t>
            </w:r>
          </w:p>
        </w:tc>
        <w:tc>
          <w:tcPr>
            <w:tcW w:w="6521" w:type="dxa"/>
            <w:shd w:val="clear" w:color="auto" w:fill="auto"/>
            <w:hideMark/>
          </w:tcPr>
          <w:p w14:paraId="1F31476E" w14:textId="77777777" w:rsidR="00AB22D8" w:rsidRPr="00981C45" w:rsidRDefault="00AB22D8" w:rsidP="000A5342">
            <w:pPr>
              <w:spacing w:line="276" w:lineRule="auto"/>
              <w:jc w:val="center"/>
              <w:rPr>
                <w:rFonts w:ascii="Arial Narrow" w:hAnsi="Arial Narrow" w:cs="Arial"/>
                <w:color w:val="000000"/>
                <w:lang w:eastAsia="es-DO"/>
              </w:rPr>
            </w:pPr>
            <w:r w:rsidRPr="00981C45">
              <w:rPr>
                <w:rFonts w:ascii="Arial Narrow" w:hAnsi="Arial Narrow" w:cs="Arial"/>
                <w:color w:val="000000"/>
                <w:lang w:eastAsia="es-DO"/>
              </w:rPr>
              <w:t>CAMION TIPO GRUA DE 22 PIES</w:t>
            </w:r>
          </w:p>
        </w:tc>
        <w:tc>
          <w:tcPr>
            <w:tcW w:w="992" w:type="dxa"/>
            <w:shd w:val="clear" w:color="auto" w:fill="auto"/>
            <w:hideMark/>
          </w:tcPr>
          <w:p w14:paraId="408E054D" w14:textId="77777777" w:rsidR="00AB22D8" w:rsidRPr="00981C45" w:rsidRDefault="00AB22D8" w:rsidP="000A5342">
            <w:pPr>
              <w:spacing w:line="276" w:lineRule="auto"/>
              <w:jc w:val="center"/>
              <w:rPr>
                <w:rFonts w:ascii="Arial Narrow" w:hAnsi="Arial Narrow" w:cs="Arial"/>
                <w:color w:val="000000"/>
                <w:lang w:eastAsia="es-DO"/>
              </w:rPr>
            </w:pPr>
            <w:r w:rsidRPr="00981C45">
              <w:rPr>
                <w:rFonts w:ascii="Arial Narrow" w:hAnsi="Arial Narrow" w:cs="Arial"/>
                <w:color w:val="000000"/>
                <w:lang w:eastAsia="es-DO"/>
              </w:rPr>
              <w:t>unidades</w:t>
            </w:r>
          </w:p>
        </w:tc>
        <w:tc>
          <w:tcPr>
            <w:tcW w:w="1134" w:type="dxa"/>
            <w:shd w:val="clear" w:color="auto" w:fill="auto"/>
            <w:hideMark/>
          </w:tcPr>
          <w:p w14:paraId="236E399C" w14:textId="77777777" w:rsidR="00AB22D8" w:rsidRPr="00981C45" w:rsidRDefault="00AB22D8" w:rsidP="000A5342">
            <w:pPr>
              <w:spacing w:line="276" w:lineRule="auto"/>
              <w:jc w:val="center"/>
              <w:rPr>
                <w:rFonts w:ascii="Arial Narrow" w:hAnsi="Arial Narrow" w:cs="Arial"/>
                <w:color w:val="000000"/>
                <w:lang w:eastAsia="es-DO"/>
              </w:rPr>
            </w:pPr>
            <w:r w:rsidRPr="00981C45">
              <w:rPr>
                <w:rFonts w:ascii="Arial Narrow" w:hAnsi="Arial Narrow" w:cs="Arial"/>
                <w:color w:val="000000"/>
                <w:lang w:eastAsia="es-DO"/>
              </w:rPr>
              <w:t>1.00</w:t>
            </w:r>
          </w:p>
        </w:tc>
      </w:tr>
      <w:tr w:rsidR="00AB22D8" w:rsidRPr="00981C45" w14:paraId="21BF3A72" w14:textId="77777777" w:rsidTr="000A5342">
        <w:trPr>
          <w:trHeight w:val="393"/>
        </w:trPr>
        <w:tc>
          <w:tcPr>
            <w:tcW w:w="727" w:type="dxa"/>
            <w:shd w:val="clear" w:color="auto" w:fill="auto"/>
          </w:tcPr>
          <w:p w14:paraId="0D240D31" w14:textId="77777777" w:rsidR="00AB22D8" w:rsidRPr="00981C45" w:rsidRDefault="00AB22D8" w:rsidP="000A5342">
            <w:pPr>
              <w:spacing w:line="276" w:lineRule="auto"/>
              <w:jc w:val="center"/>
              <w:rPr>
                <w:rFonts w:ascii="Arial Narrow" w:hAnsi="Arial Narrow" w:cs="Arial"/>
                <w:color w:val="000000"/>
                <w:lang w:eastAsia="es-DO"/>
              </w:rPr>
            </w:pPr>
            <w:r w:rsidRPr="00981C45">
              <w:rPr>
                <w:rFonts w:ascii="Arial Narrow" w:hAnsi="Arial Narrow" w:cs="Arial"/>
                <w:color w:val="000000"/>
                <w:lang w:eastAsia="es-DO"/>
              </w:rPr>
              <w:t>2</w:t>
            </w:r>
          </w:p>
        </w:tc>
        <w:tc>
          <w:tcPr>
            <w:tcW w:w="6521" w:type="dxa"/>
            <w:shd w:val="clear" w:color="auto" w:fill="auto"/>
          </w:tcPr>
          <w:p w14:paraId="3B1AD0A4" w14:textId="77777777" w:rsidR="00AB22D8" w:rsidRPr="00981C45" w:rsidRDefault="00AB22D8" w:rsidP="000A5342">
            <w:pPr>
              <w:spacing w:line="276" w:lineRule="auto"/>
              <w:jc w:val="center"/>
              <w:rPr>
                <w:rFonts w:ascii="Arial Narrow" w:hAnsi="Arial Narrow" w:cs="Arial"/>
                <w:color w:val="000000"/>
                <w:lang w:eastAsia="es-DO"/>
              </w:rPr>
            </w:pPr>
            <w:r w:rsidRPr="00981C45">
              <w:rPr>
                <w:rFonts w:ascii="Arial Narrow" w:hAnsi="Arial Narrow" w:cs="Arial"/>
                <w:color w:val="000000"/>
                <w:lang w:eastAsia="es-DO"/>
              </w:rPr>
              <w:t>CAMION SUCCIONADOR DE AGUAS RESIDUALES</w:t>
            </w:r>
          </w:p>
        </w:tc>
        <w:tc>
          <w:tcPr>
            <w:tcW w:w="992" w:type="dxa"/>
            <w:shd w:val="clear" w:color="auto" w:fill="auto"/>
          </w:tcPr>
          <w:p w14:paraId="0EC2F421" w14:textId="77777777" w:rsidR="00AB22D8" w:rsidRPr="00981C45" w:rsidRDefault="00AB22D8" w:rsidP="000A5342">
            <w:pPr>
              <w:spacing w:line="276" w:lineRule="auto"/>
              <w:jc w:val="center"/>
              <w:rPr>
                <w:rFonts w:ascii="Arial Narrow" w:hAnsi="Arial Narrow" w:cs="Arial"/>
                <w:color w:val="000000"/>
                <w:lang w:eastAsia="es-DO"/>
              </w:rPr>
            </w:pPr>
            <w:r w:rsidRPr="00981C45">
              <w:rPr>
                <w:rFonts w:ascii="Arial Narrow" w:hAnsi="Arial Narrow" w:cs="Arial"/>
                <w:color w:val="000000"/>
                <w:lang w:eastAsia="es-DO"/>
              </w:rPr>
              <w:t>unidades</w:t>
            </w:r>
          </w:p>
        </w:tc>
        <w:tc>
          <w:tcPr>
            <w:tcW w:w="1134" w:type="dxa"/>
            <w:shd w:val="clear" w:color="auto" w:fill="auto"/>
          </w:tcPr>
          <w:p w14:paraId="681C5394" w14:textId="77777777" w:rsidR="00AB22D8" w:rsidRPr="00981C45" w:rsidRDefault="00AB22D8" w:rsidP="000A5342">
            <w:pPr>
              <w:spacing w:line="276" w:lineRule="auto"/>
              <w:jc w:val="center"/>
              <w:rPr>
                <w:rFonts w:ascii="Arial Narrow" w:hAnsi="Arial Narrow" w:cs="Arial"/>
                <w:color w:val="000000"/>
                <w:lang w:eastAsia="es-DO"/>
              </w:rPr>
            </w:pPr>
            <w:r w:rsidRPr="00981C45">
              <w:rPr>
                <w:rFonts w:ascii="Arial Narrow" w:hAnsi="Arial Narrow" w:cs="Arial"/>
                <w:color w:val="000000"/>
                <w:lang w:eastAsia="es-DO"/>
              </w:rPr>
              <w:t>1.00</w:t>
            </w:r>
          </w:p>
        </w:tc>
      </w:tr>
      <w:tr w:rsidR="00AB22D8" w:rsidRPr="00981C45" w14:paraId="390B39B8" w14:textId="77777777" w:rsidTr="000A5342">
        <w:trPr>
          <w:trHeight w:val="393"/>
        </w:trPr>
        <w:tc>
          <w:tcPr>
            <w:tcW w:w="727" w:type="dxa"/>
            <w:shd w:val="clear" w:color="auto" w:fill="auto"/>
          </w:tcPr>
          <w:p w14:paraId="4031ED8C" w14:textId="77777777" w:rsidR="00AB22D8" w:rsidRPr="00981C45" w:rsidRDefault="00AB22D8" w:rsidP="000A5342">
            <w:pPr>
              <w:spacing w:line="276" w:lineRule="auto"/>
              <w:jc w:val="center"/>
              <w:rPr>
                <w:rFonts w:ascii="Arial Narrow" w:hAnsi="Arial Narrow" w:cs="Arial"/>
                <w:color w:val="000000"/>
                <w:lang w:eastAsia="es-DO"/>
              </w:rPr>
            </w:pPr>
            <w:r w:rsidRPr="00981C45">
              <w:rPr>
                <w:rFonts w:ascii="Arial Narrow" w:hAnsi="Arial Narrow" w:cs="Arial"/>
                <w:color w:val="000000"/>
                <w:lang w:eastAsia="es-DO"/>
              </w:rPr>
              <w:t>3</w:t>
            </w:r>
          </w:p>
        </w:tc>
        <w:tc>
          <w:tcPr>
            <w:tcW w:w="6521" w:type="dxa"/>
            <w:shd w:val="clear" w:color="auto" w:fill="auto"/>
          </w:tcPr>
          <w:p w14:paraId="5672EE4C" w14:textId="77777777" w:rsidR="00AB22D8" w:rsidRPr="00981C45" w:rsidRDefault="00AB22D8" w:rsidP="000A5342">
            <w:pPr>
              <w:spacing w:line="276" w:lineRule="auto"/>
              <w:jc w:val="center"/>
              <w:rPr>
                <w:rFonts w:ascii="Arial Narrow" w:hAnsi="Arial Narrow" w:cs="Arial"/>
                <w:color w:val="000000"/>
                <w:lang w:eastAsia="es-DO"/>
              </w:rPr>
            </w:pPr>
            <w:r w:rsidRPr="00981C45">
              <w:rPr>
                <w:rFonts w:ascii="Arial Narrow" w:hAnsi="Arial Narrow" w:cs="Arial"/>
                <w:color w:val="000000"/>
                <w:lang w:eastAsia="es-DO"/>
              </w:rPr>
              <w:t>CAMIONETA 4X4 DOBLE CABINA AUTOMATICA TURBO DIESEL</w:t>
            </w:r>
          </w:p>
        </w:tc>
        <w:tc>
          <w:tcPr>
            <w:tcW w:w="992" w:type="dxa"/>
            <w:shd w:val="clear" w:color="auto" w:fill="auto"/>
          </w:tcPr>
          <w:p w14:paraId="122CBCAB" w14:textId="77777777" w:rsidR="00AB22D8" w:rsidRPr="00981C45" w:rsidRDefault="00AB22D8" w:rsidP="000A5342">
            <w:pPr>
              <w:spacing w:line="276" w:lineRule="auto"/>
              <w:ind w:right="-225"/>
              <w:jc w:val="center"/>
              <w:rPr>
                <w:rFonts w:ascii="Arial Narrow" w:hAnsi="Arial Narrow" w:cs="Arial"/>
                <w:color w:val="000000"/>
                <w:lang w:eastAsia="es-DO"/>
              </w:rPr>
            </w:pPr>
            <w:r w:rsidRPr="00981C45">
              <w:rPr>
                <w:rFonts w:ascii="Arial Narrow" w:hAnsi="Arial Narrow" w:cs="Arial"/>
                <w:color w:val="000000"/>
                <w:lang w:eastAsia="es-DO"/>
              </w:rPr>
              <w:t>unidades</w:t>
            </w:r>
          </w:p>
        </w:tc>
        <w:tc>
          <w:tcPr>
            <w:tcW w:w="1134" w:type="dxa"/>
            <w:shd w:val="clear" w:color="auto" w:fill="auto"/>
          </w:tcPr>
          <w:p w14:paraId="594EA48A" w14:textId="77777777" w:rsidR="00AB22D8" w:rsidRPr="00981C45" w:rsidRDefault="00AB22D8" w:rsidP="000A5342">
            <w:pPr>
              <w:spacing w:line="276" w:lineRule="auto"/>
              <w:jc w:val="center"/>
              <w:rPr>
                <w:rFonts w:ascii="Arial Narrow" w:hAnsi="Arial Narrow" w:cs="Arial"/>
                <w:color w:val="000000"/>
                <w:lang w:eastAsia="es-DO"/>
              </w:rPr>
            </w:pPr>
            <w:r w:rsidRPr="00981C45">
              <w:rPr>
                <w:rFonts w:ascii="Arial Narrow" w:hAnsi="Arial Narrow" w:cs="Arial"/>
                <w:color w:val="000000"/>
                <w:lang w:eastAsia="es-DO"/>
              </w:rPr>
              <w:t>9.00</w:t>
            </w:r>
          </w:p>
        </w:tc>
      </w:tr>
    </w:tbl>
    <w:p w14:paraId="66A62849" w14:textId="77777777" w:rsidR="000035C5" w:rsidRPr="00B434A8" w:rsidRDefault="000035C5" w:rsidP="004D177F">
      <w:pPr>
        <w:jc w:val="both"/>
        <w:rPr>
          <w:b/>
          <w:sz w:val="22"/>
          <w:szCs w:val="22"/>
        </w:rPr>
      </w:pPr>
      <w:bookmarkStart w:id="1" w:name="_GoBack"/>
      <w:bookmarkEnd w:id="1"/>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lastRenderedPageBreak/>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lastRenderedPageBreak/>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2"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2"/>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24CFBE56"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EA3C49" w:rsidRPr="004D177F">
        <w:rPr>
          <w:b/>
          <w:color w:val="800000"/>
          <w:sz w:val="22"/>
          <w:szCs w:val="22"/>
        </w:rPr>
        <w:t xml:space="preserve">[Describir el tipo de modalidad, objeto del procedimiento y número de Referencia],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3FD8E773"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 xml:space="preserve">y </w:t>
      </w:r>
      <w:r w:rsidR="00001380">
        <w:rPr>
          <w:sz w:val="22"/>
          <w:szCs w:val="22"/>
        </w:rPr>
        <w:t xml:space="preserve"> </w:t>
      </w:r>
      <w:r w:rsidRPr="006B443B">
        <w:rPr>
          <w:sz w:val="22"/>
          <w:szCs w:val="22"/>
        </w:rPr>
        <w:t>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77777777"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Pr="004D177F">
        <w:rPr>
          <w:b/>
          <w:color w:val="800000"/>
          <w:sz w:val="22"/>
          <w:szCs w:val="22"/>
        </w:rPr>
        <w:t>[insertar nombre de la institución contratante],</w:t>
      </w:r>
      <w:r w:rsidRPr="004D177F">
        <w:rPr>
          <w:color w:val="C00000"/>
          <w:sz w:val="22"/>
          <w:szCs w:val="22"/>
        </w:rPr>
        <w:t xml:space="preserve"> </w:t>
      </w:r>
      <w:r w:rsidRPr="004D177F">
        <w:rPr>
          <w:sz w:val="22"/>
          <w:szCs w:val="22"/>
        </w:rPr>
        <w:t xml:space="preserve">en un plazo no mayor de cinco (5) días hábiles luego de su suscripción conforme al artículo 167 del Reglamento  núm. 416-23 y, además, para el caso de las instituciones sujetas a la Ley </w:t>
      </w:r>
      <w:r w:rsidRPr="004D177F">
        <w:rPr>
          <w:sz w:val="22"/>
          <w:szCs w:val="22"/>
        </w:rPr>
        <w:lastRenderedPageBreak/>
        <w:t>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1A09B4AE"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4D177F">
        <w:rPr>
          <w:b/>
          <w:color w:val="800000"/>
          <w:sz w:val="22"/>
          <w:szCs w:val="22"/>
        </w:rPr>
        <w:t xml:space="preserve">[insertar nombre de la institución contratante]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lastRenderedPageBreak/>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lastRenderedPageBreak/>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w:t>
      </w:r>
      <w:r w:rsidRPr="004D177F">
        <w:rPr>
          <w:sz w:val="22"/>
          <w:szCs w:val="22"/>
        </w:rPr>
        <w:lastRenderedPageBreak/>
        <w:t>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lastRenderedPageBreak/>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lastRenderedPageBreak/>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969D" w14:textId="77777777" w:rsidR="00815843" w:rsidRDefault="00815843" w:rsidP="00465CCF">
      <w:r>
        <w:separator/>
      </w:r>
    </w:p>
  </w:endnote>
  <w:endnote w:type="continuationSeparator" w:id="0">
    <w:p w14:paraId="450B6003" w14:textId="77777777" w:rsidR="00815843" w:rsidRDefault="00815843"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7B5E9765"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AB22D8">
              <w:rPr>
                <w:b/>
                <w:bCs/>
                <w:noProof/>
                <w:sz w:val="20"/>
                <w:szCs w:val="20"/>
              </w:rPr>
              <w:t>13</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AB22D8">
              <w:rPr>
                <w:b/>
                <w:bCs/>
                <w:noProof/>
                <w:sz w:val="20"/>
                <w:szCs w:val="20"/>
              </w:rPr>
              <w:t>13</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EC8CF" w14:textId="77777777" w:rsidR="00815843" w:rsidRDefault="00815843" w:rsidP="00465CCF">
      <w:r>
        <w:separator/>
      </w:r>
    </w:p>
  </w:footnote>
  <w:footnote w:type="continuationSeparator" w:id="0">
    <w:p w14:paraId="07017312" w14:textId="77777777" w:rsidR="00815843" w:rsidRDefault="00815843"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3552" w:hanging="360"/>
      </w:pPr>
      <w:rPr>
        <w:b/>
        <w:color w:val="auto"/>
      </w:rPr>
    </w:lvl>
    <w:lvl w:ilvl="1" w:tplc="1C0A0019" w:tentative="1">
      <w:start w:val="1"/>
      <w:numFmt w:val="lowerLetter"/>
      <w:lvlText w:val="%2."/>
      <w:lvlJc w:val="left"/>
      <w:pPr>
        <w:ind w:left="4272" w:hanging="360"/>
      </w:pPr>
    </w:lvl>
    <w:lvl w:ilvl="2" w:tplc="1C0A001B" w:tentative="1">
      <w:start w:val="1"/>
      <w:numFmt w:val="lowerRoman"/>
      <w:lvlText w:val="%3."/>
      <w:lvlJc w:val="right"/>
      <w:pPr>
        <w:ind w:left="4992" w:hanging="180"/>
      </w:pPr>
    </w:lvl>
    <w:lvl w:ilvl="3" w:tplc="1C0A000F" w:tentative="1">
      <w:start w:val="1"/>
      <w:numFmt w:val="decimal"/>
      <w:lvlText w:val="%4."/>
      <w:lvlJc w:val="left"/>
      <w:pPr>
        <w:ind w:left="5712" w:hanging="360"/>
      </w:pPr>
    </w:lvl>
    <w:lvl w:ilvl="4" w:tplc="1C0A0019" w:tentative="1">
      <w:start w:val="1"/>
      <w:numFmt w:val="lowerLetter"/>
      <w:lvlText w:val="%5."/>
      <w:lvlJc w:val="left"/>
      <w:pPr>
        <w:ind w:left="6432" w:hanging="360"/>
      </w:pPr>
    </w:lvl>
    <w:lvl w:ilvl="5" w:tplc="1C0A001B" w:tentative="1">
      <w:start w:val="1"/>
      <w:numFmt w:val="lowerRoman"/>
      <w:lvlText w:val="%6."/>
      <w:lvlJc w:val="right"/>
      <w:pPr>
        <w:ind w:left="7152" w:hanging="180"/>
      </w:pPr>
    </w:lvl>
    <w:lvl w:ilvl="6" w:tplc="1C0A000F" w:tentative="1">
      <w:start w:val="1"/>
      <w:numFmt w:val="decimal"/>
      <w:lvlText w:val="%7."/>
      <w:lvlJc w:val="left"/>
      <w:pPr>
        <w:ind w:left="7872" w:hanging="360"/>
      </w:pPr>
    </w:lvl>
    <w:lvl w:ilvl="7" w:tplc="1C0A0019" w:tentative="1">
      <w:start w:val="1"/>
      <w:numFmt w:val="lowerLetter"/>
      <w:lvlText w:val="%8."/>
      <w:lvlJc w:val="left"/>
      <w:pPr>
        <w:ind w:left="8592" w:hanging="360"/>
      </w:pPr>
    </w:lvl>
    <w:lvl w:ilvl="8" w:tplc="1C0A001B" w:tentative="1">
      <w:start w:val="1"/>
      <w:numFmt w:val="lowerRoman"/>
      <w:lvlText w:val="%9."/>
      <w:lvlJc w:val="right"/>
      <w:pPr>
        <w:ind w:left="9312"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1380"/>
    <w:rsid w:val="000035C5"/>
    <w:rsid w:val="000042EC"/>
    <w:rsid w:val="00010A82"/>
    <w:rsid w:val="00025799"/>
    <w:rsid w:val="000257CC"/>
    <w:rsid w:val="00042789"/>
    <w:rsid w:val="00043B0D"/>
    <w:rsid w:val="00055B06"/>
    <w:rsid w:val="00060D30"/>
    <w:rsid w:val="00067350"/>
    <w:rsid w:val="000850B7"/>
    <w:rsid w:val="000D168C"/>
    <w:rsid w:val="000D47AB"/>
    <w:rsid w:val="000F5A46"/>
    <w:rsid w:val="000F6CBB"/>
    <w:rsid w:val="00102C64"/>
    <w:rsid w:val="00106EAD"/>
    <w:rsid w:val="00115198"/>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61A91"/>
    <w:rsid w:val="00272889"/>
    <w:rsid w:val="002A7107"/>
    <w:rsid w:val="002B6777"/>
    <w:rsid w:val="002C141E"/>
    <w:rsid w:val="002C4C7B"/>
    <w:rsid w:val="002C6A25"/>
    <w:rsid w:val="002E1CFB"/>
    <w:rsid w:val="002E484D"/>
    <w:rsid w:val="002E536B"/>
    <w:rsid w:val="002E6939"/>
    <w:rsid w:val="002E7FBA"/>
    <w:rsid w:val="002F1DE0"/>
    <w:rsid w:val="0030118D"/>
    <w:rsid w:val="00305F17"/>
    <w:rsid w:val="00312604"/>
    <w:rsid w:val="00323BED"/>
    <w:rsid w:val="00326327"/>
    <w:rsid w:val="00330875"/>
    <w:rsid w:val="003359F7"/>
    <w:rsid w:val="00344F19"/>
    <w:rsid w:val="0035320D"/>
    <w:rsid w:val="003561C9"/>
    <w:rsid w:val="00356C35"/>
    <w:rsid w:val="003736FE"/>
    <w:rsid w:val="00375863"/>
    <w:rsid w:val="00375D06"/>
    <w:rsid w:val="003864EB"/>
    <w:rsid w:val="0039549C"/>
    <w:rsid w:val="003A4F37"/>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540E"/>
    <w:rsid w:val="0052760A"/>
    <w:rsid w:val="0053010C"/>
    <w:rsid w:val="0053484A"/>
    <w:rsid w:val="0054296C"/>
    <w:rsid w:val="00550193"/>
    <w:rsid w:val="00552642"/>
    <w:rsid w:val="00553AD7"/>
    <w:rsid w:val="00560A9C"/>
    <w:rsid w:val="00563602"/>
    <w:rsid w:val="005B2E32"/>
    <w:rsid w:val="005B5EE6"/>
    <w:rsid w:val="005E0CE8"/>
    <w:rsid w:val="005F20A4"/>
    <w:rsid w:val="005F42BF"/>
    <w:rsid w:val="0061152E"/>
    <w:rsid w:val="006146ED"/>
    <w:rsid w:val="0061605A"/>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3E1F"/>
    <w:rsid w:val="007A5A1F"/>
    <w:rsid w:val="007C4990"/>
    <w:rsid w:val="007C64EF"/>
    <w:rsid w:val="007D38ED"/>
    <w:rsid w:val="007D6425"/>
    <w:rsid w:val="007E65DC"/>
    <w:rsid w:val="007F0767"/>
    <w:rsid w:val="007F66E0"/>
    <w:rsid w:val="00810041"/>
    <w:rsid w:val="00813C41"/>
    <w:rsid w:val="00814065"/>
    <w:rsid w:val="00815300"/>
    <w:rsid w:val="00815843"/>
    <w:rsid w:val="008206A3"/>
    <w:rsid w:val="00825299"/>
    <w:rsid w:val="00846522"/>
    <w:rsid w:val="00874C52"/>
    <w:rsid w:val="0088032D"/>
    <w:rsid w:val="00880B3E"/>
    <w:rsid w:val="00886203"/>
    <w:rsid w:val="008A0190"/>
    <w:rsid w:val="008B2CBD"/>
    <w:rsid w:val="008D562A"/>
    <w:rsid w:val="008E039E"/>
    <w:rsid w:val="008F0BE9"/>
    <w:rsid w:val="008F1073"/>
    <w:rsid w:val="008F2F47"/>
    <w:rsid w:val="008F43A8"/>
    <w:rsid w:val="00912CB5"/>
    <w:rsid w:val="009134A6"/>
    <w:rsid w:val="00921446"/>
    <w:rsid w:val="00926B7D"/>
    <w:rsid w:val="00953318"/>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B22D8"/>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853B4"/>
    <w:rsid w:val="00BA706F"/>
    <w:rsid w:val="00BB154E"/>
    <w:rsid w:val="00BC2E6F"/>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B76B3"/>
    <w:rsid w:val="00CC3BA8"/>
    <w:rsid w:val="00CC5733"/>
    <w:rsid w:val="00CC7B97"/>
    <w:rsid w:val="00CD4044"/>
    <w:rsid w:val="00CF3D03"/>
    <w:rsid w:val="00CF6D55"/>
    <w:rsid w:val="00CF7689"/>
    <w:rsid w:val="00D00887"/>
    <w:rsid w:val="00D040F8"/>
    <w:rsid w:val="00D05E0E"/>
    <w:rsid w:val="00D15816"/>
    <w:rsid w:val="00D279D1"/>
    <w:rsid w:val="00D35F04"/>
    <w:rsid w:val="00D374BA"/>
    <w:rsid w:val="00D50F7D"/>
    <w:rsid w:val="00D653BB"/>
    <w:rsid w:val="00D9064F"/>
    <w:rsid w:val="00D92E65"/>
    <w:rsid w:val="00D93DD1"/>
    <w:rsid w:val="00DB089D"/>
    <w:rsid w:val="00DB1978"/>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2BFB5-16D9-462C-A552-B398F0A9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6082</Words>
  <Characters>34670</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6</cp:revision>
  <cp:lastPrinted>2024-03-19T13:17:00Z</cp:lastPrinted>
  <dcterms:created xsi:type="dcterms:W3CDTF">2024-07-18T18:37:00Z</dcterms:created>
  <dcterms:modified xsi:type="dcterms:W3CDTF">2024-07-18T18:39:00Z</dcterms:modified>
</cp:coreProperties>
</file>